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rPr>
          <w:rFonts w:ascii="IBM Plex Sans" w:cs="IBM Plex Sans" w:eastAsia="IBM Plex Sans" w:hAnsi="IBM Plex Sans"/>
        </w:rPr>
      </w:pPr>
      <w:r w:rsidDel="00000000" w:rsidR="00000000" w:rsidRPr="00000000">
        <w:rPr>
          <w:rFonts w:ascii="IBM Plex Sans" w:cs="IBM Plex Sans" w:eastAsia="IBM Plex Sans" w:hAnsi="IBM Plex Sans"/>
          <w:b w:val="1"/>
          <w:bCs w:val="1"/>
          <w:sz w:val="32"/>
          <w:szCs w:val="32"/>
          <w:rtl w:val="0"/>
        </w:rPr>
        <w:t xml:space="preserve">Ghidul atelierului Fest It Up</w:t>
      </w:r>
      <w:r w:rsidDel="00000000" w:rsidR="00000000" w:rsidRPr="00000000">
        <w:rPr>
          <w:rtl w:val="0"/>
        </w:rPr>
      </w:r>
    </w:p>
    <w:p w:rsidR="00000000" w:rsidDel="00000000" w:rsidP="00000000" w:rsidRDefault="00000000" w:rsidRPr="00000000" w14:paraId="00000002">
      <w:pPr>
        <w:spacing w:line="240" w:lineRule="auto"/>
        <w:rPr>
          <w:rFonts w:ascii="IBM Plex Sans" w:cs="IBM Plex Sans" w:eastAsia="IBM Plex Sans" w:hAnsi="IBM Plex Sans"/>
          <w:b w:val="1"/>
          <w:bCs w:val="1"/>
          <w:sz w:val="28"/>
          <w:szCs w:val="28"/>
        </w:rPr>
      </w:pPr>
      <w:r w:rsidDel="00000000" w:rsidR="00000000" w:rsidRPr="00000000">
        <w:rPr>
          <w:rtl w:val="0"/>
        </w:rPr>
      </w:r>
    </w:p>
    <w:p w:rsidR="00000000" w:rsidDel="00000000" w:rsidP="00000000" w:rsidRDefault="00000000" w:rsidRPr="00000000" w14:paraId="00000003">
      <w:pPr>
        <w:spacing w:line="240" w:lineRule="auto"/>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tl w:val="0"/>
        </w:rPr>
        <w:t xml:space="preserve">Cuprins</w:t>
      </w:r>
    </w:p>
    <w:sdt>
      <w:sdtPr>
        <w:id w:val="749962134"/>
        <w:docPartObj>
          <w:docPartGallery w:val="Table of Contents"/>
          <w:docPartUnique w:val="1"/>
        </w:docPartObj>
      </w:sdtPr>
      <w:sdtContent>
        <w:p w:rsidR="00000000" w:rsidDel="00000000" w:rsidP="00000000" w:rsidRDefault="00000000" w:rsidRPr="00000000" w14:paraId="00000004">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p3ri78itc2lj">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Introducere</w:t>
              <w:tab/>
              <w:t xml:space="preserve">2</w:t>
            </w:r>
          </w:hyperlink>
          <w:r w:rsidDel="00000000" w:rsidR="00000000" w:rsidRPr="00000000">
            <w:rPr>
              <w:rtl w:val="0"/>
            </w:rPr>
          </w:r>
        </w:p>
        <w:p w:rsidR="00000000" w:rsidDel="00000000" w:rsidP="00000000" w:rsidRDefault="00000000" w:rsidRPr="00000000" w14:paraId="00000005">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heading=h.sglu0na4q2yn">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Obiective</w:t>
              <w:tab/>
              <w:t xml:space="preserve">2</w:t>
            </w:r>
          </w:hyperlink>
          <w:r w:rsidDel="00000000" w:rsidR="00000000" w:rsidRPr="00000000">
            <w:rPr>
              <w:rtl w:val="0"/>
            </w:rPr>
          </w:r>
        </w:p>
        <w:p w:rsidR="00000000" w:rsidDel="00000000" w:rsidP="00000000" w:rsidRDefault="00000000" w:rsidRPr="00000000" w14:paraId="00000006">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heading=h.iuwgze80xvzt">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Materiale</w:t>
              <w:tab/>
              <w:t xml:space="preserve">2</w:t>
            </w:r>
          </w:hyperlink>
          <w:r w:rsidDel="00000000" w:rsidR="00000000" w:rsidRPr="00000000">
            <w:rPr>
              <w:rtl w:val="0"/>
            </w:rPr>
          </w:r>
        </w:p>
        <w:p w:rsidR="00000000" w:rsidDel="00000000" w:rsidP="00000000" w:rsidRDefault="00000000" w:rsidRPr="00000000" w14:paraId="00000007">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heading=h.m8rg29347xxn">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Manualul atelierului</w:t>
              <w:tab/>
              <w:t xml:space="preserve">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8">
      <w:pPr>
        <w:spacing w:line="240" w:lineRule="auto"/>
        <w:rPr>
          <w:rFonts w:ascii="IBM Plex Sans" w:cs="IBM Plex Sans" w:eastAsia="IBM Plex Sans" w:hAnsi="IBM Plex Sans"/>
          <w:b w:val="1"/>
          <w:bCs w:val="1"/>
          <w:sz w:val="28"/>
          <w:szCs w:val="28"/>
        </w:rPr>
      </w:pPr>
      <w:r w:rsidDel="00000000" w:rsidR="00000000" w:rsidRPr="00000000">
        <w:rPr>
          <w:rtl w:val="0"/>
        </w:rPr>
      </w:r>
    </w:p>
    <w:p w:rsidR="00000000" w:rsidDel="00000000" w:rsidP="00000000" w:rsidRDefault="00000000" w:rsidRPr="00000000" w14:paraId="00000009">
      <w:pPr>
        <w:spacing w:line="240" w:lineRule="auto"/>
        <w:rPr>
          <w:rFonts w:ascii="IBM Plex Sans" w:cs="IBM Plex Sans" w:eastAsia="IBM Plex Sans" w:hAnsi="IBM Plex Sans"/>
          <w:b w:val="1"/>
          <w:bCs w:val="1"/>
          <w:sz w:val="28"/>
          <w:szCs w:val="28"/>
        </w:rPr>
      </w:pPr>
      <w:r w:rsidDel="00000000" w:rsidR="00000000" w:rsidRPr="00000000">
        <w:rPr>
          <w:rtl w:val="0"/>
        </w:rPr>
      </w:r>
    </w:p>
    <w:p w:rsidR="00000000" w:rsidDel="00000000" w:rsidP="00000000" w:rsidRDefault="00000000" w:rsidRPr="00000000" w14:paraId="0000000A">
      <w:pPr>
        <w:spacing w:line="240" w:lineRule="auto"/>
        <w:rPr>
          <w:rFonts w:ascii="IBM Plex Sans" w:cs="IBM Plex Sans" w:eastAsia="IBM Plex Sans" w:hAnsi="IBM Plex Sans"/>
          <w:b w:val="1"/>
          <w:bCs w:val="1"/>
          <w:sz w:val="28"/>
          <w:szCs w:val="28"/>
        </w:rPr>
      </w:pPr>
      <w:r w:rsidDel="00000000" w:rsidR="00000000" w:rsidRPr="00000000">
        <w:rPr>
          <w:rtl w:val="0"/>
        </w:rPr>
      </w:r>
    </w:p>
    <w:p w:rsidR="00000000" w:rsidDel="00000000" w:rsidP="00000000" w:rsidRDefault="00000000" w:rsidRPr="00000000" w14:paraId="0000000B">
      <w:pPr>
        <w:pStyle w:val="Heading1"/>
        <w:rPr/>
      </w:pPr>
      <w:bookmarkStart w:colFirst="0" w:colLast="0" w:name="_heading=h.psjqc59d8p7d" w:id="0"/>
      <w:bookmarkEnd w:id="0"/>
      <w:r w:rsidDel="00000000" w:rsidR="00000000" w:rsidRPr="00000000">
        <w:br w:type="page"/>
      </w:r>
      <w:r w:rsidDel="00000000" w:rsidR="00000000" w:rsidRPr="00000000">
        <w:rPr>
          <w:rtl w:val="0"/>
        </w:rPr>
      </w:r>
    </w:p>
    <w:p w:rsidR="00000000" w:rsidDel="00000000" w:rsidP="00000000" w:rsidRDefault="00000000" w:rsidRPr="00000000" w14:paraId="0000000C">
      <w:pPr>
        <w:pStyle w:val="Heading1"/>
        <w:rPr>
          <w:sz w:val="36"/>
          <w:szCs w:val="36"/>
        </w:rPr>
      </w:pPr>
      <w:bookmarkStart w:colFirst="0" w:colLast="0" w:name="_heading=h.p3ri78itc2lj" w:id="1"/>
      <w:bookmarkEnd w:id="1"/>
      <w:r w:rsidDel="00000000" w:rsidR="00000000" w:rsidRPr="00000000">
        <w:rPr>
          <w:rtl w:val="0"/>
        </w:rPr>
        <w:t xml:space="preserve">Introducere</w:t>
      </w:r>
      <w:r w:rsidDel="00000000" w:rsidR="00000000" w:rsidRPr="00000000">
        <w:rPr>
          <w:rtl w:val="0"/>
        </w:rPr>
      </w:r>
    </w:p>
    <w:p w:rsidR="00000000" w:rsidDel="00000000" w:rsidP="00000000" w:rsidRDefault="00000000" w:rsidRPr="00000000" w14:paraId="0000000D">
      <w:pPr>
        <w:spacing w:after="240" w:before="240" w:lineRule="auto"/>
        <w:rPr>
          <w:rFonts w:ascii="IBM Plex Sans" w:cs="IBM Plex Sans" w:eastAsia="IBM Plex Sans" w:hAnsi="IBM Plex Sans"/>
        </w:rPr>
      </w:pPr>
      <w:r w:rsidDel="00000000" w:rsidR="00000000" w:rsidRPr="00000000">
        <w:rPr>
          <w:rFonts w:ascii="IBM Plex Sans" w:cs="IBM Plex Sans" w:eastAsia="IBM Plex Sans" w:hAnsi="IBM Plex Sans"/>
          <w:i w:val="1"/>
          <w:iCs w:val="1"/>
          <w:rtl w:val="0"/>
        </w:rPr>
        <w:t xml:space="preserve">Fest It Up! </w:t>
      </w:r>
      <w:r w:rsidDel="00000000" w:rsidR="00000000" w:rsidRPr="00000000">
        <w:rPr>
          <w:rFonts w:ascii="IBM Plex Sans" w:cs="IBM Plex Sans" w:eastAsia="IBM Plex Sans" w:hAnsi="IBM Plex Sans"/>
          <w:rtl w:val="0"/>
        </w:rPr>
        <w:t xml:space="preserve">este un joc serios în care tinerii preiau controlul. În echipe mici de până la trei elevi, ei își construiesc propriul festival, de la food truck-uri la aprovizionarea cu energie, de la comercializarea de produse la gestionarea deșeurilor. Fiecare alegere pe care o fac are un impact: asupra finanțelor lor și asupra succesului festivalului. La sfârșitul atelierului, ei își prezintă festivalul cu un discurs convingător.</w:t>
      </w:r>
    </w:p>
    <w:p w:rsidR="00000000" w:rsidDel="00000000" w:rsidP="00000000" w:rsidRDefault="00000000" w:rsidRPr="00000000" w14:paraId="0000000E">
      <w:pPr>
        <w:spacing w:after="240" w:befor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Acest joc a fost dezvoltat în cadrul proiectului Erasmus+ </w:t>
      </w:r>
      <w:r w:rsidDel="00000000" w:rsidR="00000000" w:rsidRPr="00000000">
        <w:rPr>
          <w:rFonts w:ascii="IBM Plex Sans" w:cs="IBM Plex Sans" w:eastAsia="IBM Plex Sans" w:hAnsi="IBM Plex Sans"/>
          <w:i w:val="1"/>
          <w:iCs w:val="1"/>
          <w:rtl w:val="0"/>
        </w:rPr>
        <w:t xml:space="preserve">AlphaSkills</w:t>
      </w:r>
      <w:r w:rsidDel="00000000" w:rsidR="00000000" w:rsidRPr="00000000">
        <w:rPr>
          <w:rFonts w:ascii="IBM Plex Sans" w:cs="IBM Plex Sans" w:eastAsia="IBM Plex Sans" w:hAnsi="IBM Plex Sans"/>
          <w:rtl w:val="0"/>
        </w:rPr>
        <w:t xml:space="preserve">, care sprijină tinerii cu vârste cuprinse între 13 și 15 ani în dezvoltarea talentelor lor și în alegerea carierei, cu accent pe durabilitate. </w:t>
      </w:r>
      <w:r w:rsidDel="00000000" w:rsidR="00000000" w:rsidRPr="00000000">
        <w:rPr>
          <w:rFonts w:ascii="IBM Plex Sans" w:cs="IBM Plex Sans" w:eastAsia="IBM Plex Sans" w:hAnsi="IBM Plex Sans"/>
          <w:i w:val="1"/>
          <w:iCs w:val="1"/>
          <w:rtl w:val="0"/>
        </w:rPr>
        <w:t xml:space="preserve">Fest It Up </w:t>
      </w:r>
      <w:r w:rsidDel="00000000" w:rsidR="00000000" w:rsidRPr="00000000">
        <w:rPr>
          <w:rFonts w:ascii="IBM Plex Sans" w:cs="IBM Plex Sans" w:eastAsia="IBM Plex Sans" w:hAnsi="IBM Plex Sans"/>
          <w:rtl w:val="0"/>
        </w:rPr>
        <w:t xml:space="preserve">este în concordanță cu această misiune: tinerii gândesc critic despre soluții și învață cum pot face diferența prin alegeri inteligente.</w:t>
      </w:r>
    </w:p>
    <w:p w:rsidR="00000000" w:rsidDel="00000000" w:rsidP="00000000" w:rsidRDefault="00000000" w:rsidRPr="00000000" w14:paraId="0000000F">
      <w:pPr>
        <w:spacing w:after="240" w:befor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Jocul se bazează pe patru strategii de economie circulară legate de o bază de fani: </w:t>
      </w:r>
      <w:r w:rsidDel="00000000" w:rsidR="00000000" w:rsidRPr="00000000">
        <w:rPr>
          <w:rFonts w:ascii="IBM Plex Sans" w:cs="IBM Plex Sans" w:eastAsia="IBM Plex Sans" w:hAnsi="IBM Plex Sans"/>
          <w:b w:val="1"/>
          <w:bCs w:val="1"/>
          <w:rtl w:val="0"/>
        </w:rPr>
        <w:t xml:space="preserve">Rethinkers, Reducers, Reusers </w:t>
      </w:r>
      <w:r w:rsidDel="00000000" w:rsidR="00000000" w:rsidRPr="00000000">
        <w:rPr>
          <w:rFonts w:ascii="IBM Plex Sans" w:cs="IBM Plex Sans" w:eastAsia="IBM Plex Sans" w:hAnsi="IBM Plex Sans"/>
          <w:rtl w:val="0"/>
        </w:rPr>
        <w:t xml:space="preserve">și </w:t>
      </w:r>
      <w:r w:rsidDel="00000000" w:rsidR="00000000" w:rsidRPr="00000000">
        <w:rPr>
          <w:rFonts w:ascii="IBM Plex Sans" w:cs="IBM Plex Sans" w:eastAsia="IBM Plex Sans" w:hAnsi="IBM Plex Sans"/>
          <w:b w:val="1"/>
          <w:bCs w:val="1"/>
          <w:rtl w:val="0"/>
        </w:rPr>
        <w:t xml:space="preserve">Recyclers</w:t>
      </w:r>
      <w:r w:rsidDel="00000000" w:rsidR="00000000" w:rsidRPr="00000000">
        <w:rPr>
          <w:rFonts w:ascii="IBM Plex Sans" w:cs="IBM Plex Sans" w:eastAsia="IBM Plex Sans" w:hAnsi="IBM Plex Sans"/>
          <w:rtl w:val="0"/>
        </w:rPr>
        <w:t xml:space="preserve">. Tinerii se implică într-un context care îi atrage – festivalurile – și dobândesc cunoștințe despre sustenabilitate, comportament și alegeri într-un mod ludic. Ei experimentează faptul că gândirea circulară nu este limitativă, ci mai degrabă încurajează creativitatea și inovarea.</w:t>
      </w:r>
    </w:p>
    <w:p w:rsidR="00000000" w:rsidDel="00000000" w:rsidP="00000000" w:rsidRDefault="00000000" w:rsidRPr="00000000" w14:paraId="00000010">
      <w:pPr>
        <w:spacing w:after="240" w:befor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Cu </w:t>
      </w:r>
      <w:r w:rsidDel="00000000" w:rsidR="00000000" w:rsidRPr="00000000">
        <w:rPr>
          <w:rFonts w:ascii="IBM Plex Sans" w:cs="IBM Plex Sans" w:eastAsia="IBM Plex Sans" w:hAnsi="IBM Plex Sans"/>
          <w:i w:val="1"/>
          <w:iCs w:val="1"/>
          <w:rtl w:val="0"/>
        </w:rPr>
        <w:t xml:space="preserve">Fest It Up</w:t>
      </w:r>
      <w:r w:rsidDel="00000000" w:rsidR="00000000" w:rsidRPr="00000000">
        <w:rPr>
          <w:rFonts w:ascii="IBM Plex Sans" w:cs="IBM Plex Sans" w:eastAsia="IBM Plex Sans" w:hAnsi="IBM Plex Sans"/>
          <w:rtl w:val="0"/>
        </w:rPr>
        <w:t xml:space="preserve">, lucrați la mai mult decât conștientizarea problemelor de mediu. Jocul serios se concentrează pe competențe</w:t>
      </w:r>
      <w:r w:rsidDel="00000000" w:rsidR="00000000" w:rsidRPr="00000000">
        <w:rPr>
          <w:rFonts w:ascii="IBM Plex Sans" w:cs="IBM Plex Sans" w:eastAsia="IBM Plex Sans" w:hAnsi="IBM Plex Sans"/>
          <w:b w:val="1"/>
          <w:bCs w:val="1"/>
          <w:rtl w:val="0"/>
        </w:rPr>
        <w:t xml:space="preserve"> ecologice </w:t>
      </w:r>
      <w:r w:rsidDel="00000000" w:rsidR="00000000" w:rsidRPr="00000000">
        <w:rPr>
          <w:rFonts w:ascii="IBM Plex Sans" w:cs="IBM Plex Sans" w:eastAsia="IBM Plex Sans" w:hAnsi="IBM Plex Sans"/>
          <w:rtl w:val="0"/>
        </w:rPr>
        <w:t xml:space="preserve">— competențe precum colaborarea, gândirea sistemică, asumarea responsabilității și gândirea orientată spre soluții. Acestea sunt competențe care nu numai că pregătesc tinerii pentru piața muncii de mâine, dar îi și întăresc ca cetățeni activi de astăzi.</w:t>
      </w:r>
    </w:p>
    <w:p w:rsidR="00000000" w:rsidDel="00000000" w:rsidP="00000000" w:rsidRDefault="00000000" w:rsidRPr="00000000" w14:paraId="00000011">
      <w:pPr>
        <w:pStyle w:val="Heading1"/>
        <w:spacing w:line="240" w:lineRule="auto"/>
        <w:rPr/>
      </w:pPr>
      <w:bookmarkStart w:colFirst="0" w:colLast="0" w:name="_heading=h.sglu0na4q2yn" w:id="2"/>
      <w:bookmarkEnd w:id="2"/>
      <w:r w:rsidDel="00000000" w:rsidR="00000000" w:rsidRPr="00000000">
        <w:rPr>
          <w:rtl w:val="0"/>
        </w:rPr>
        <w:t xml:space="preserve">Obiective</w:t>
      </w:r>
    </w:p>
    <w:p w:rsidR="00000000" w:rsidDel="00000000" w:rsidP="00000000" w:rsidRDefault="00000000" w:rsidRPr="00000000" w14:paraId="00000012">
      <w:pPr>
        <w:numPr>
          <w:ilvl w:val="0"/>
          <w:numId w:val="1"/>
        </w:numPr>
        <w:spacing w:after="0" w:before="240" w:line="240" w:lineRule="auto"/>
        <w:ind w:left="720" w:hanging="360"/>
        <w:rPr>
          <w:rFonts w:ascii="IBM Plex Sans" w:cs="IBM Plex Sans" w:eastAsia="IBM Plex Sans" w:hAnsi="IBM Plex Sans"/>
          <w:sz w:val="16"/>
          <w:szCs w:val="16"/>
        </w:rPr>
      </w:pPr>
      <w:r w:rsidDel="00000000" w:rsidR="00000000" w:rsidRPr="00000000">
        <w:rPr>
          <w:rFonts w:ascii="IBM Plex Sans" w:cs="IBM Plex Sans" w:eastAsia="IBM Plex Sans" w:hAnsi="IBM Plex Sans"/>
          <w:rtl w:val="0"/>
        </w:rPr>
        <w:t xml:space="preserve">Explorarea conceptului de „circularitate” prin analizarea alegerilor și exemplelor recognoscibile.</w:t>
      </w:r>
      <w:r w:rsidDel="00000000" w:rsidR="00000000" w:rsidRPr="00000000">
        <w:rPr>
          <w:rtl w:val="0"/>
        </w:rPr>
      </w:r>
    </w:p>
    <w:p w:rsidR="00000000" w:rsidDel="00000000" w:rsidP="00000000" w:rsidRDefault="00000000" w:rsidRPr="00000000" w14:paraId="00000013">
      <w:pPr>
        <w:numPr>
          <w:ilvl w:val="0"/>
          <w:numId w:val="1"/>
        </w:numPr>
        <w:spacing w:after="0" w:before="0" w:line="240" w:lineRule="auto"/>
        <w:ind w:left="720" w:hanging="360"/>
        <w:rPr>
          <w:rFonts w:ascii="IBM Plex Sans" w:cs="IBM Plex Sans" w:eastAsia="IBM Plex Sans" w:hAnsi="IBM Plex Sans"/>
          <w:sz w:val="16"/>
          <w:szCs w:val="16"/>
        </w:rPr>
      </w:pPr>
      <w:r w:rsidDel="00000000" w:rsidR="00000000" w:rsidRPr="00000000">
        <w:rPr>
          <w:rFonts w:ascii="IBM Plex Sans" w:cs="IBM Plex Sans" w:eastAsia="IBM Plex Sans" w:hAnsi="IBM Plex Sans"/>
          <w:rtl w:val="0"/>
        </w:rPr>
        <w:t xml:space="preserve">Recunoașterea și aplicarea a patru strategii circulare (Regândire, Reducere, Reutilizare, Reciclare) într-un context realist.</w:t>
      </w:r>
      <w:r w:rsidDel="00000000" w:rsidR="00000000" w:rsidRPr="00000000">
        <w:rPr>
          <w:rtl w:val="0"/>
        </w:rPr>
      </w:r>
    </w:p>
    <w:p w:rsidR="00000000" w:rsidDel="00000000" w:rsidP="00000000" w:rsidRDefault="00000000" w:rsidRPr="00000000" w14:paraId="00000014">
      <w:pPr>
        <w:numPr>
          <w:ilvl w:val="0"/>
          <w:numId w:val="1"/>
        </w:numPr>
        <w:spacing w:after="0" w:before="0" w:line="240" w:lineRule="auto"/>
        <w:ind w:left="720" w:hanging="360"/>
        <w:rPr>
          <w:rFonts w:ascii="IBM Plex Sans" w:cs="IBM Plex Sans" w:eastAsia="IBM Plex Sans" w:hAnsi="IBM Plex Sans"/>
          <w:sz w:val="16"/>
          <w:szCs w:val="16"/>
        </w:rPr>
      </w:pPr>
      <w:r w:rsidDel="00000000" w:rsidR="00000000" w:rsidRPr="00000000">
        <w:rPr>
          <w:rFonts w:ascii="IBM Plex Sans" w:cs="IBM Plex Sans" w:eastAsia="IBM Plex Sans" w:hAnsi="IBM Plex Sans"/>
          <w:rtl w:val="0"/>
        </w:rPr>
        <w:t xml:space="preserve">Lucrul în echipă pentru a proiecta propriul festival și a face alegeri strategice bine gândite.</w:t>
      </w:r>
      <w:r w:rsidDel="00000000" w:rsidR="00000000" w:rsidRPr="00000000">
        <w:rPr>
          <w:rtl w:val="0"/>
        </w:rPr>
      </w:r>
    </w:p>
    <w:p w:rsidR="00000000" w:rsidDel="00000000" w:rsidP="00000000" w:rsidRDefault="00000000" w:rsidRPr="00000000" w14:paraId="00000015">
      <w:pPr>
        <w:numPr>
          <w:ilvl w:val="0"/>
          <w:numId w:val="1"/>
        </w:numPr>
        <w:spacing w:after="0" w:before="0" w:line="240" w:lineRule="auto"/>
        <w:ind w:left="720" w:hanging="360"/>
        <w:rPr>
          <w:rFonts w:ascii="IBM Plex Sans" w:cs="IBM Plex Sans" w:eastAsia="IBM Plex Sans" w:hAnsi="IBM Plex Sans"/>
          <w:sz w:val="16"/>
          <w:szCs w:val="16"/>
        </w:rPr>
      </w:pPr>
      <w:r w:rsidDel="00000000" w:rsidR="00000000" w:rsidRPr="00000000">
        <w:rPr>
          <w:rFonts w:ascii="IBM Plex Sans" w:cs="IBM Plex Sans" w:eastAsia="IBM Plex Sans" w:hAnsi="IBM Plex Sans"/>
          <w:rtl w:val="0"/>
        </w:rPr>
        <w:t xml:space="preserve">Reflectarea asupra consecințelor alegerilor și descoperirea modului în care acestea afectează sustenabilitatea, societatea și economia.</w:t>
      </w:r>
      <w:r w:rsidDel="00000000" w:rsidR="00000000" w:rsidRPr="00000000">
        <w:rPr>
          <w:rtl w:val="0"/>
        </w:rPr>
      </w:r>
    </w:p>
    <w:p w:rsidR="00000000" w:rsidDel="00000000" w:rsidP="00000000" w:rsidRDefault="00000000" w:rsidRPr="00000000" w14:paraId="00000016">
      <w:pPr>
        <w:numPr>
          <w:ilvl w:val="0"/>
          <w:numId w:val="1"/>
        </w:numPr>
        <w:spacing w:after="240" w:before="0" w:line="240" w:lineRule="auto"/>
        <w:ind w:left="720" w:hanging="360"/>
        <w:rPr>
          <w:rFonts w:ascii="IBM Plex Sans" w:cs="IBM Plex Sans" w:eastAsia="IBM Plex Sans" w:hAnsi="IBM Plex Sans"/>
          <w:sz w:val="16"/>
          <w:szCs w:val="16"/>
        </w:rPr>
      </w:pPr>
      <w:r w:rsidDel="00000000" w:rsidR="00000000" w:rsidRPr="00000000">
        <w:rPr>
          <w:rFonts w:ascii="IBM Plex Sans" w:cs="IBM Plex Sans" w:eastAsia="IBM Plex Sans" w:hAnsi="IBM Plex Sans"/>
          <w:rtl w:val="0"/>
        </w:rPr>
        <w:t xml:space="preserve">Dezvoltarea unei prezentări și prezentarea rezultatelor prin articularea și fundamentarea clară a alegerilor.</w:t>
      </w:r>
      <w:r w:rsidDel="00000000" w:rsidR="00000000" w:rsidRPr="00000000">
        <w:rPr>
          <w:rtl w:val="0"/>
        </w:rPr>
      </w:r>
    </w:p>
    <w:p w:rsidR="00000000" w:rsidDel="00000000" w:rsidP="00000000" w:rsidRDefault="00000000" w:rsidRPr="00000000" w14:paraId="00000017">
      <w:pPr>
        <w:pStyle w:val="Heading1"/>
        <w:spacing w:line="240" w:lineRule="auto"/>
        <w:rPr/>
      </w:pPr>
      <w:bookmarkStart w:colFirst="0" w:colLast="0" w:name="_heading=h.iuwgze80xvzt" w:id="3"/>
      <w:bookmarkEnd w:id="3"/>
      <w:r w:rsidDel="00000000" w:rsidR="00000000" w:rsidRPr="00000000">
        <w:rPr>
          <w:rtl w:val="0"/>
        </w:rPr>
        <w:t xml:space="preserve">Materiale</w:t>
      </w:r>
    </w:p>
    <w:p w:rsidR="00000000" w:rsidDel="00000000" w:rsidP="00000000" w:rsidRDefault="00000000" w:rsidRPr="00000000" w14:paraId="00000018">
      <w:pPr>
        <w:numPr>
          <w:ilvl w:val="0"/>
          <w:numId w:val="6"/>
        </w:numPr>
        <w:spacing w:after="0"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Laptopuri/tabletele (1 laptop/tabletă la 3 tineri)</w:t>
      </w:r>
    </w:p>
    <w:p w:rsidR="00000000" w:rsidDel="00000000" w:rsidP="00000000" w:rsidRDefault="00000000" w:rsidRPr="00000000" w14:paraId="00000019">
      <w:pPr>
        <w:numPr>
          <w:ilvl w:val="0"/>
          <w:numId w:val="6"/>
        </w:numPr>
        <w:spacing w:after="0" w:lineRule="auto"/>
        <w:ind w:left="720" w:hanging="360"/>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Conexiune stabilă la internet</w:t>
      </w:r>
      <w:r w:rsidDel="00000000" w:rsidR="00000000" w:rsidRPr="00000000">
        <w:rPr>
          <w:rtl w:val="0"/>
        </w:rPr>
      </w:r>
    </w:p>
    <w:p w:rsidR="00000000" w:rsidDel="00000000" w:rsidP="00000000" w:rsidRDefault="00000000" w:rsidRPr="00000000" w14:paraId="0000001A">
      <w:pPr>
        <w:numPr>
          <w:ilvl w:val="0"/>
          <w:numId w:val="6"/>
        </w:numPr>
        <w:spacing w:after="0" w:lineRule="auto"/>
        <w:ind w:left="720" w:hanging="360"/>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Site-ul web Fest It Up</w:t>
      </w:r>
      <w:r w:rsidDel="00000000" w:rsidR="00000000" w:rsidRPr="00000000">
        <w:rPr>
          <w:rtl w:val="0"/>
        </w:rPr>
      </w:r>
    </w:p>
    <w:p w:rsidR="00000000" w:rsidDel="00000000" w:rsidP="00000000" w:rsidRDefault="00000000" w:rsidRPr="00000000" w14:paraId="0000001B">
      <w:pPr>
        <w:numPr>
          <w:ilvl w:val="0"/>
          <w:numId w:val="6"/>
        </w:numPr>
        <w:spacing w:after="0" w:lineRule="auto"/>
        <w:ind w:left="720" w:hanging="360"/>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Cărți strategice</w:t>
      </w:r>
      <w:r w:rsidDel="00000000" w:rsidR="00000000" w:rsidRPr="00000000">
        <w:rPr>
          <w:rtl w:val="0"/>
        </w:rPr>
      </w:r>
    </w:p>
    <w:p w:rsidR="00000000" w:rsidDel="00000000" w:rsidP="00000000" w:rsidRDefault="00000000" w:rsidRPr="00000000" w14:paraId="0000001C">
      <w:pPr>
        <w:pStyle w:val="Heading1"/>
        <w:spacing w:line="240" w:lineRule="auto"/>
        <w:rPr/>
      </w:pPr>
      <w:bookmarkStart w:colFirst="0" w:colLast="0" w:name="_heading=h.m8rg29347xxn" w:id="4"/>
      <w:bookmarkEnd w:id="4"/>
      <w:r w:rsidDel="00000000" w:rsidR="00000000" w:rsidRPr="00000000">
        <w:rPr>
          <w:rtl w:val="0"/>
        </w:rPr>
        <w:t xml:space="preserve">Manualul atelierului</w:t>
      </w:r>
    </w:p>
    <w:sdt>
      <w:sdtPr>
        <w:lock w:val="contentLocked"/>
        <w:id w:val="2100294491"/>
        <w:tag w:val="goog_rdk_0"/>
      </w:sdtPr>
      <w:sdtContent>
        <w:tbl>
          <w:tblPr>
            <w:tblStyle w:val="Table1"/>
            <w:tblW w:w="96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375"/>
            <w:gridCol w:w="6225"/>
            <w:tblGridChange w:id="0">
              <w:tblGrid>
                <w:gridCol w:w="3375"/>
                <w:gridCol w:w="62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tl w:val="0"/>
                  </w:rPr>
                  <w:t xml:space="preserve">Slide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tl w:val="0"/>
                  </w:rPr>
                  <w:t xml:space="preserve">Instrucțiuni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2000250" cy="1130300"/>
                      <wp:effectExtent b="0" l="0" r="0" t="0"/>
                      <wp:docPr id="1692533101" name="image11.png"/>
                      <a:graphic>
                        <a:graphicData uri="http://schemas.openxmlformats.org/drawingml/2006/picture">
                          <pic:pic>
                            <pic:nvPicPr>
                              <pic:cNvPr id="0" name="image11.png"/>
                              <pic:cNvPicPr preferRelativeResize="0"/>
                            </pic:nvPicPr>
                            <pic:blipFill>
                              <a:blip r:embed="rId7"/>
                              <a:srcRect b="0" l="0" r="0" t="0"/>
                              <a:stretch>
                                <a:fillRect/>
                              </a:stretch>
                            </pic:blipFill>
                            <pic:spPr>
                              <a:xfrm>
                                <a:off x="0" y="0"/>
                                <a:ext cx="2000250" cy="11303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after="240" w:before="240" w:line="240"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Introducere (5 min.)</w:t>
                </w:r>
              </w:p>
              <w:p w:rsidR="00000000" w:rsidDel="00000000" w:rsidP="00000000" w:rsidRDefault="00000000" w:rsidRPr="00000000" w14:paraId="00000021">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i w:val="1"/>
                    <w:iCs w:val="1"/>
                    <w:rtl w:val="0"/>
                  </w:rPr>
                  <w:t xml:space="preserve">„</w:t>
                </w:r>
                <w:r w:rsidDel="00000000" w:rsidR="00000000" w:rsidRPr="00000000">
                  <w:rPr>
                    <w:rFonts w:ascii="IBM Plex Sans" w:cs="IBM Plex Sans" w:eastAsia="IBM Plex Sans" w:hAnsi="IBM Plex Sans"/>
                    <w:rtl w:val="0"/>
                  </w:rPr>
                  <w:t xml:space="preserve">Bine ați venit la </w:t>
                </w:r>
                <w:r w:rsidDel="00000000" w:rsidR="00000000" w:rsidRPr="00000000">
                  <w:rPr>
                    <w:rFonts w:ascii="IBM Plex Sans" w:cs="IBM Plex Sans" w:eastAsia="IBM Plex Sans" w:hAnsi="IBM Plex Sans"/>
                    <w:i w:val="1"/>
                    <w:iCs w:val="1"/>
                    <w:rtl w:val="0"/>
                  </w:rPr>
                  <w:t xml:space="preserve">„Fest It Up!” </w:t>
                </w:r>
                <w:r w:rsidDel="00000000" w:rsidR="00000000" w:rsidRPr="00000000">
                  <w:rPr>
                    <w:rFonts w:ascii="IBM Plex Sans" w:cs="IBM Plex Sans" w:eastAsia="IBM Plex Sans" w:hAnsi="IBM Plex Sans"/>
                    <w:rtl w:val="0"/>
                  </w:rPr>
                  <w:t xml:space="preserve">Astăzi veți organiza propriul festival. Veți lua decizii cu privire la energie, alimentație, gestionarea deșeurilor și transport. Fiecare decizie va avea consecințe asupra bugetului și succesului festivalului.</w:t>
                </w:r>
              </w:p>
              <w:p w:rsidR="00000000" w:rsidDel="00000000" w:rsidP="00000000" w:rsidRDefault="00000000" w:rsidRPr="00000000" w14:paraId="00000022">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Veți organiza un festival pentru diferite tipuri de fani (= publicul țintă). Acești fani consideră că este important să lucrați în conformitate cu o strategie durabilă. Jucând acest joc, veți învăța nu numai ce înseamnă circularitatea, ci și cum să gândiți creativ și critic despre soluții durabile. La sfârșitul jocului, veți prezenta festivalul vostru în cadrul unei scurte prezentări.</w:t>
                </w:r>
              </w:p>
              <w:p w:rsidR="00000000" w:rsidDel="00000000" w:rsidP="00000000" w:rsidRDefault="00000000" w:rsidRPr="00000000" w14:paraId="00000023">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Înainte de a începe:</w:t>
                </w:r>
              </w:p>
              <w:p w:rsidR="00000000" w:rsidDel="00000000" w:rsidP="00000000" w:rsidRDefault="00000000" w:rsidRPr="00000000" w14:paraId="00000024">
                <w:pPr>
                  <w:widowControl w:val="0"/>
                  <w:numPr>
                    <w:ilvl w:val="0"/>
                    <w:numId w:val="5"/>
                  </w:numPr>
                  <w:spacing w:after="0" w:before="240" w:line="240"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„Când organizezi un festival, ce elemente și decizii intră în joc?”</w:t>
                  <w:br w:type="textWrapping"/>
                </w:r>
              </w:p>
              <w:p w:rsidR="00000000" w:rsidDel="00000000" w:rsidP="00000000" w:rsidRDefault="00000000" w:rsidRPr="00000000" w14:paraId="00000025">
                <w:pPr>
                  <w:widowControl w:val="0"/>
                  <w:numPr>
                    <w:ilvl w:val="0"/>
                    <w:numId w:val="5"/>
                  </w:numPr>
                  <w:spacing w:after="240" w:before="0" w:line="240"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„Ce înseamnă circularitatea, în opinia ta?”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2000250" cy="1130300"/>
                      <wp:effectExtent b="0" l="0" r="0" t="0"/>
                      <wp:docPr id="1692533103" name="image13.png"/>
                      <a:graphic>
                        <a:graphicData uri="http://schemas.openxmlformats.org/drawingml/2006/picture">
                          <pic:pic>
                            <pic:nvPicPr>
                              <pic:cNvPr id="0" name="image13.png"/>
                              <pic:cNvPicPr preferRelativeResize="0"/>
                            </pic:nvPicPr>
                            <pic:blipFill>
                              <a:blip r:embed="rId8"/>
                              <a:srcRect b="0" l="0" r="0" t="0"/>
                              <a:stretch>
                                <a:fillRect/>
                              </a:stretch>
                            </pic:blipFill>
                            <pic:spPr>
                              <a:xfrm>
                                <a:off x="0" y="0"/>
                                <a:ext cx="2000250" cy="11303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after="240" w:before="240" w:line="276"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Conceptul de circularitate (2 min.)</w:t>
                </w:r>
              </w:p>
              <w:p w:rsidR="00000000" w:rsidDel="00000000" w:rsidP="00000000" w:rsidRDefault="00000000" w:rsidRPr="00000000" w14:paraId="00000028">
                <w:pPr>
                  <w:widowControl w:val="0"/>
                  <w:spacing w:after="240" w:before="240" w:line="276"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„Circularitatea” înseamnă utilizarea cât mai inteligentă a materiilor prime, reutilizarea sau refolosirea acestora, astfel încât să generăm cât mai puține deșeuri. Nu este vorba doar de reciclare, ci și de gândire creativă, reutilizare și evitarea aruncării lucrurilor.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after="0" w:line="240" w:lineRule="auto"/>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2000250" cy="1143000"/>
                      <wp:effectExtent b="0" l="0" r="0" t="0"/>
                      <wp:docPr id="1692533102" name="image12.png"/>
                      <a:graphic>
                        <a:graphicData uri="http://schemas.openxmlformats.org/drawingml/2006/picture">
                          <pic:pic>
                            <pic:nvPicPr>
                              <pic:cNvPr id="0" name="image12.png"/>
                              <pic:cNvPicPr preferRelativeResize="0"/>
                            </pic:nvPicPr>
                            <pic:blipFill>
                              <a:blip r:embed="rId9"/>
                              <a:srcRect b="0" l="0" r="0" t="0"/>
                              <a:stretch>
                                <a:fillRect/>
                              </a:stretch>
                            </pic:blipFill>
                            <pic:spPr>
                              <a:xfrm>
                                <a:off x="0" y="0"/>
                                <a:ext cx="2000250" cy="1143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after="0" w:line="240"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Explorarea strategiilor R (2 min.)</w:t>
                </w:r>
              </w:p>
              <w:p w:rsidR="00000000" w:rsidDel="00000000" w:rsidP="00000000" w:rsidRDefault="00000000" w:rsidRPr="00000000" w14:paraId="0000002B">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Pentru a lucra în direcția circularității în organizarea propriului festival, fanii consideră că propria strategie este cea mai importantă.</w:t>
                </w:r>
              </w:p>
              <w:p w:rsidR="00000000" w:rsidDel="00000000" w:rsidP="00000000" w:rsidRDefault="00000000" w:rsidRPr="00000000" w14:paraId="0000002C">
                <w:pPr>
                  <w:widowControl w:val="0"/>
                  <w:spacing w:after="0" w:line="240" w:lineRule="auto"/>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2D">
                <w:pPr>
                  <w:widowControl w:val="0"/>
                  <w:spacing w:after="0" w:line="240"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rtl w:val="0"/>
                  </w:rPr>
                  <w:t xml:space="preserve">Rezumați pe scurt strategiile, întrebând elevii ce cred că înseamnă diferitele strategii. Menționați că există și alte strategii, cum ar fi repararea și refuzul.</w:t>
                </w:r>
                <w:r w:rsidDel="00000000" w:rsidR="00000000" w:rsidRPr="00000000">
                  <w:rPr>
                    <w:rtl w:val="0"/>
                  </w:rPr>
                </w:r>
              </w:p>
            </w:tc>
          </w:tr>
          <w:tr>
            <w:trPr>
              <w:cantSplit w:val="0"/>
              <w:trHeight w:val="5899.99999999999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2000250" cy="1143000"/>
                      <wp:effectExtent b="0" l="0" r="0" t="0"/>
                      <wp:docPr id="1692533105" name="image8.png"/>
                      <a:graphic>
                        <a:graphicData uri="http://schemas.openxmlformats.org/drawingml/2006/picture">
                          <pic:pic>
                            <pic:nvPicPr>
                              <pic:cNvPr id="0" name="image8.png"/>
                              <pic:cNvPicPr preferRelativeResize="0"/>
                            </pic:nvPicPr>
                            <pic:blipFill>
                              <a:blip r:embed="rId10"/>
                              <a:srcRect b="0" l="0" r="0" t="0"/>
                              <a:stretch>
                                <a:fillRect/>
                              </a:stretch>
                            </pic:blipFill>
                            <pic:spPr>
                              <a:xfrm>
                                <a:off x="0" y="0"/>
                                <a:ext cx="2000250" cy="1143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after="0" w:line="240"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Prezentarea fanilor (strategii R) – 10 min.</w:t>
                </w:r>
              </w:p>
              <w:p w:rsidR="00000000" w:rsidDel="00000000" w:rsidP="00000000" w:rsidRDefault="00000000" w:rsidRPr="00000000" w14:paraId="00000030">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Organizați un festival pentru fani. Fiecare tip de fan consideră importante lucruri diferite și dorește să lucrați în conformitate cu strategia sa.</w:t>
                </w:r>
              </w:p>
              <w:p w:rsidR="00000000" w:rsidDel="00000000" w:rsidP="00000000" w:rsidRDefault="00000000" w:rsidRPr="00000000" w14:paraId="00000031">
                <w:pPr>
                  <w:widowControl w:val="0"/>
                  <w:spacing w:after="0" w:line="240" w:lineRule="auto"/>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32">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Pentru a ne familiariza cu strategiile fanilor, vom așeza cinci obiecte cu strategii diferite. Ce obiect ați așeza lângă ce strategie a fanilor?</w:t>
                </w:r>
              </w:p>
              <w:p w:rsidR="00000000" w:rsidDel="00000000" w:rsidP="00000000" w:rsidRDefault="00000000" w:rsidRPr="00000000" w14:paraId="00000033">
                <w:pPr>
                  <w:widowControl w:val="0"/>
                  <w:spacing w:after="0" w:line="240" w:lineRule="auto"/>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34">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Într-o discuție de grup, așezăm diferitele simboluri lângă strategia corectă a fanilor. Sunt posibile mai multe răspunsuri corecte.</w:t>
                </w:r>
              </w:p>
              <w:p w:rsidR="00000000" w:rsidDel="00000000" w:rsidP="00000000" w:rsidRDefault="00000000" w:rsidRPr="00000000" w14:paraId="00000035">
                <w:pPr>
                  <w:widowControl w:val="0"/>
                  <w:spacing w:after="0" w:line="240" w:lineRule="auto"/>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36">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De exemplu:</w:t>
                </w:r>
              </w:p>
              <w:p w:rsidR="00000000" w:rsidDel="00000000" w:rsidP="00000000" w:rsidRDefault="00000000" w:rsidRPr="00000000" w14:paraId="00000037">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Gândiți diferit: mașină - platforme de car-sharing, lampă - energie regenerabilă, ...</w:t>
                </w:r>
              </w:p>
              <w:p w:rsidR="00000000" w:rsidDel="00000000" w:rsidP="00000000" w:rsidRDefault="00000000" w:rsidRPr="00000000" w14:paraId="00000038">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Reutilizați: cutie pentru prânz</w:t>
                </w:r>
              </w:p>
              <w:p w:rsidR="00000000" w:rsidDel="00000000" w:rsidP="00000000" w:rsidRDefault="00000000" w:rsidRPr="00000000" w14:paraId="00000039">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Reciclează: compostarea merelor, reciclarea sticlei sparte, ...</w:t>
                </w:r>
              </w:p>
              <w:p w:rsidR="00000000" w:rsidDel="00000000" w:rsidP="00000000" w:rsidRDefault="00000000" w:rsidRPr="00000000" w14:paraId="0000003A">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Reduce: utilizarea mașinii, utilizarea energiei electrice, ...</w:t>
                </w:r>
              </w:p>
              <w:p w:rsidR="00000000" w:rsidDel="00000000" w:rsidP="00000000" w:rsidRDefault="00000000" w:rsidRPr="00000000" w14:paraId="0000003B">
                <w:pPr>
                  <w:widowControl w:val="0"/>
                  <w:spacing w:after="0" w:line="240" w:lineRule="auto"/>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3C">
                <w:pPr>
                  <w:widowControl w:val="0"/>
                  <w:spacing w:after="0" w:line="240" w:lineRule="auto"/>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rtl w:val="0"/>
                  </w:rPr>
                  <w:t xml:space="preserve">Sunt posibile și alte idei și exemple.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after="0" w:line="240" w:lineRule="auto"/>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2000250" cy="1117600"/>
                      <wp:effectExtent b="0" l="0" r="0" t="0"/>
                      <wp:docPr id="1692533104" name="image10.png"/>
                      <a:graphic>
                        <a:graphicData uri="http://schemas.openxmlformats.org/drawingml/2006/picture">
                          <pic:pic>
                            <pic:nvPicPr>
                              <pic:cNvPr id="0" name="image10.png"/>
                              <pic:cNvPicPr preferRelativeResize="0"/>
                            </pic:nvPicPr>
                            <pic:blipFill>
                              <a:blip r:embed="rId11"/>
                              <a:srcRect b="0" l="0" r="0" t="0"/>
                              <a:stretch>
                                <a:fillRect/>
                              </a:stretch>
                            </pic:blipFill>
                            <pic:spPr>
                              <a:xfrm>
                                <a:off x="0" y="0"/>
                                <a:ext cx="2000250" cy="11176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Exercițiu suplimentar (10 min.):</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Dați fiecărui grup o carte de strategie.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u w:val="single"/>
                  </w:rPr>
                </w:pPr>
                <w:r w:rsidDel="00000000" w:rsidR="00000000" w:rsidRPr="00000000">
                  <w:rPr>
                    <w:rFonts w:ascii="IBM Plex Sans" w:cs="IBM Plex Sans" w:eastAsia="IBM Plex Sans" w:hAnsi="IBM Plex Sans"/>
                    <w:u w:val="single"/>
                    <w:rtl w:val="0"/>
                  </w:rPr>
                  <w:t xml:space="preserve">Provocări:</w:t>
                </w:r>
              </w:p>
              <w:p w:rsidR="00000000" w:rsidDel="00000000" w:rsidP="00000000" w:rsidRDefault="00000000" w:rsidRPr="00000000" w14:paraId="00000042">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Gândiți diferit: Cum puteți aborda ideea de „bilete” într-un mod complet diferit, fără a crea deșeuri?</w:t>
                </w:r>
              </w:p>
              <w:p w:rsidR="00000000" w:rsidDel="00000000" w:rsidP="00000000" w:rsidRDefault="00000000" w:rsidRPr="00000000" w14:paraId="00000043">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Reutilizați: Mai aveți o cantitate mare de tricouri de la o ediție anterioară a festivalului. Cum le puteți reutiliza?</w:t>
                </w:r>
                <w:r w:rsidDel="00000000" w:rsidR="00000000" w:rsidRPr="00000000">
                  <w:rPr>
                    <w:rtl w:val="0"/>
                  </w:rPr>
                </w:r>
              </w:p>
              <w:p w:rsidR="00000000" w:rsidDel="00000000" w:rsidP="00000000" w:rsidRDefault="00000000" w:rsidRPr="00000000" w14:paraId="00000044">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Reduceți: Doriți fluturași, gadgeturi, bannere, pungi cu cadouri... dar totul se acumulează. Ce puteți elimina sau schimba pentru a utiliza mai puține materiale?</w:t>
                </w:r>
                <w:r w:rsidDel="00000000" w:rsidR="00000000" w:rsidRPr="00000000">
                  <w:rPr>
                    <w:rtl w:val="0"/>
                  </w:rPr>
                </w:r>
              </w:p>
              <w:p w:rsidR="00000000" w:rsidDel="00000000" w:rsidP="00000000" w:rsidRDefault="00000000" w:rsidRPr="00000000" w14:paraId="00000045">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Reciclați: Festivalul vostru primește o mulțime de ambalaje din carton pentru livrările de materiale și alimente. Gândiți-vă la o modalitate creativă de a recicla cartonul în ceva util.</w:t>
                </w:r>
                <w:r w:rsidDel="00000000" w:rsidR="00000000" w:rsidRPr="00000000">
                  <w:rPr>
                    <w:rtl w:val="0"/>
                  </w:rPr>
                </w:r>
              </w:p>
              <w:p w:rsidR="00000000" w:rsidDel="00000000" w:rsidP="00000000" w:rsidRDefault="00000000" w:rsidRPr="00000000" w14:paraId="00000046">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Mo-Money: Trei sponsori doresc să susțină festivalul vostru. Alegeți un sponsor.</w:t>
                </w: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Grupurile vor discuta timp de 5 minute. După aceea, fiecare grup va prezenta pe scurt provocarea și soluția găsită. Puneți întrebarea: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„Această soluție se potrivește cu strategia lor?”</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Rețineți că diferitele strategii se suprapun parțial.</w:t>
                </w:r>
              </w:p>
            </w:tc>
          </w:tr>
          <w:tr>
            <w:trPr>
              <w:cantSplit w:val="0"/>
              <w:trHeight w:val="3762.399999999998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1637347" cy="920339"/>
                      <wp:effectExtent b="0" l="0" r="0" t="0"/>
                      <wp:docPr id="1692533107" name="image9.png"/>
                      <a:graphic>
                        <a:graphicData uri="http://schemas.openxmlformats.org/drawingml/2006/picture">
                          <pic:pic>
                            <pic:nvPicPr>
                              <pic:cNvPr id="0" name="image9.png"/>
                              <pic:cNvPicPr preferRelativeResize="0"/>
                            </pic:nvPicPr>
                            <pic:blipFill>
                              <a:blip r:embed="rId12"/>
                              <a:srcRect b="0" l="0" r="0" t="0"/>
                              <a:stretch>
                                <a:fillRect/>
                              </a:stretch>
                            </pic:blipFill>
                            <pic:spPr>
                              <a:xfrm>
                                <a:off x="0" y="0"/>
                                <a:ext cx="1637347" cy="920339"/>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after="0" w:before="0" w:line="240"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Fest It Up – lucru în echipă (+- 15 min.)</w:t>
                </w:r>
              </w:p>
              <w:p w:rsidR="00000000" w:rsidDel="00000000" w:rsidP="00000000" w:rsidRDefault="00000000" w:rsidRPr="00000000" w14:paraId="0000004F">
                <w:pPr>
                  <w:widowControl w:val="0"/>
                  <w:spacing w:after="0" w:before="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Pentru a introduce circularitatea, organizăm un festival. Înainte de a începe Fest It Up!, vom forma grupuri de maximum trei tineri. </w:t>
                </w:r>
              </w:p>
              <w:p w:rsidR="00000000" w:rsidDel="00000000" w:rsidP="00000000" w:rsidRDefault="00000000" w:rsidRPr="00000000" w14:paraId="00000050">
                <w:pPr>
                  <w:widowControl w:val="0"/>
                  <w:numPr>
                    <w:ilvl w:val="0"/>
                    <w:numId w:val="3"/>
                  </w:numPr>
                  <w:spacing w:after="0" w:before="240" w:line="276"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Fiecare grup urmează strategia fanilor săi (vezi cardul de strategie)</w:t>
                </w:r>
              </w:p>
              <w:p w:rsidR="00000000" w:rsidDel="00000000" w:rsidP="00000000" w:rsidRDefault="00000000" w:rsidRPr="00000000" w14:paraId="00000051">
                <w:pPr>
                  <w:widowControl w:val="0"/>
                  <w:numPr>
                    <w:ilvl w:val="0"/>
                    <w:numId w:val="3"/>
                  </w:numPr>
                  <w:spacing w:after="240" w:before="0" w:line="276"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Grupurile mai mari își pot alege propria strategie. Încercați să vă asigurați că sunt alese strategii diferite.</w:t>
                </w:r>
              </w:p>
              <w:p w:rsidR="00000000" w:rsidDel="00000000" w:rsidP="00000000" w:rsidRDefault="00000000" w:rsidRPr="00000000" w14:paraId="00000052">
                <w:pPr>
                  <w:widowControl w:val="0"/>
                  <w:spacing w:after="240" w:before="240" w:line="276"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Grupurile joacă jocul în mod independent. Dacă un grup termină mai devreme, poate exersa prezentarea.</w:t>
                </w:r>
              </w:p>
            </w:tc>
          </w:tr>
          <w:tr>
            <w:trPr>
              <w:cantSplit w:val="0"/>
              <w:trHeight w:val="53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1742122" cy="973539"/>
                      <wp:effectExtent b="0" l="0" r="0" t="0"/>
                      <wp:docPr id="1692533106" name="image7.png"/>
                      <a:graphic>
                        <a:graphicData uri="http://schemas.openxmlformats.org/drawingml/2006/picture">
                          <pic:pic>
                            <pic:nvPicPr>
                              <pic:cNvPr id="0" name="image7.png"/>
                              <pic:cNvPicPr preferRelativeResize="0"/>
                            </pic:nvPicPr>
                            <pic:blipFill>
                              <a:blip r:embed="rId13"/>
                              <a:srcRect b="0" l="0" r="0" t="0"/>
                              <a:stretch>
                                <a:fillRect/>
                              </a:stretch>
                            </pic:blipFill>
                            <pic:spPr>
                              <a:xfrm>
                                <a:off x="0" y="0"/>
                                <a:ext cx="1742122" cy="973539"/>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after="240" w:before="240" w:line="240"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Prezentare (+- 15 min.)</w:t>
                </w:r>
              </w:p>
              <w:p w:rsidR="00000000" w:rsidDel="00000000" w:rsidP="00000000" w:rsidRDefault="00000000" w:rsidRPr="00000000" w14:paraId="00000055">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După joc, fiecare grup va avea la dispoziție maximum 5 minute pentru a-și prezenta festivalul.</w:t>
                </w:r>
              </w:p>
              <w:p w:rsidR="00000000" w:rsidDel="00000000" w:rsidP="00000000" w:rsidRDefault="00000000" w:rsidRPr="00000000" w14:paraId="00000056">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Dacă nu este suficient timp, puteți trece la o discuție de grup, folosind întrebările de mai jos.</w:t>
                </w:r>
              </w:p>
              <w:p w:rsidR="00000000" w:rsidDel="00000000" w:rsidP="00000000" w:rsidRDefault="00000000" w:rsidRPr="00000000" w14:paraId="00000057">
                <w:pPr>
                  <w:widowControl w:val="0"/>
                  <w:numPr>
                    <w:ilvl w:val="0"/>
                    <w:numId w:val="2"/>
                  </w:numPr>
                  <w:spacing w:after="0" w:before="240" w:line="240" w:lineRule="auto"/>
                  <w:ind w:left="720" w:hanging="360"/>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Ce alegeri ați făcut pentru a vă satisface fanii?</w:t>
                </w:r>
                <w:r w:rsidDel="00000000" w:rsidR="00000000" w:rsidRPr="00000000">
                  <w:rPr>
                    <w:rtl w:val="0"/>
                  </w:rPr>
                </w:r>
              </w:p>
              <w:p w:rsidR="00000000" w:rsidDel="00000000" w:rsidP="00000000" w:rsidRDefault="00000000" w:rsidRPr="00000000" w14:paraId="00000058">
                <w:pPr>
                  <w:widowControl w:val="0"/>
                  <w:numPr>
                    <w:ilvl w:val="0"/>
                    <w:numId w:val="2"/>
                  </w:numPr>
                  <w:spacing w:after="0" w:before="0" w:line="240" w:lineRule="auto"/>
                  <w:ind w:left="720" w:hanging="360"/>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Cum a fost să luați decizii care să se potrivească fanilor voștri?</w:t>
                </w:r>
                <w:r w:rsidDel="00000000" w:rsidR="00000000" w:rsidRPr="00000000">
                  <w:rPr>
                    <w:rtl w:val="0"/>
                  </w:rPr>
                </w:r>
              </w:p>
              <w:p w:rsidR="00000000" w:rsidDel="00000000" w:rsidP="00000000" w:rsidRDefault="00000000" w:rsidRPr="00000000" w14:paraId="00000059">
                <w:pPr>
                  <w:widowControl w:val="0"/>
                  <w:numPr>
                    <w:ilvl w:val="0"/>
                    <w:numId w:val="2"/>
                  </w:numPr>
                  <w:spacing w:after="240" w:line="240"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Care credeți că ar fi cea mai bună strategie?</w:t>
                </w:r>
              </w:p>
              <w:p w:rsidR="00000000" w:rsidDel="00000000" w:rsidP="00000000" w:rsidRDefault="00000000" w:rsidRPr="00000000" w14:paraId="0000005A">
                <w:pPr>
                  <w:widowControl w:val="0"/>
                  <w:numPr>
                    <w:ilvl w:val="0"/>
                    <w:numId w:val="2"/>
                  </w:numPr>
                  <w:spacing w:after="240" w:line="240"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Ce ați face diferit dacă ați putea combina toți fanii?</w:t>
                </w:r>
              </w:p>
            </w:tc>
          </w:tr>
          <w:tr>
            <w:trPr>
              <w:cantSplit w:val="0"/>
              <w:trHeight w:val="48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after="240" w:before="240" w:line="276"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Exercițiu suplimentar – Jocul dilemei (10 min.)</w:t>
                </w:r>
              </w:p>
              <w:p w:rsidR="00000000" w:rsidDel="00000000" w:rsidP="00000000" w:rsidRDefault="00000000" w:rsidRPr="00000000" w14:paraId="0000005C">
                <w:pPr>
                  <w:widowControl w:val="0"/>
                  <w:spacing w:after="240" w:before="240" w:line="276"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Pentru a încheia, vom juca un joc de dilemă. Asigurați-vă că aveți suficient spațiu.</w:t>
                </w:r>
              </w:p>
              <w:p w:rsidR="00000000" w:rsidDel="00000000" w:rsidP="00000000" w:rsidRDefault="00000000" w:rsidRPr="00000000" w14:paraId="0000005D">
                <w:pPr>
                  <w:widowControl w:val="0"/>
                  <w:spacing w:after="240" w:before="240" w:line="276"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Instruiți grupul: la stânga liniei = da, la dreapta liniei = nu, pe linie = nu știu.</w:t>
                </w:r>
              </w:p>
              <w:p w:rsidR="00000000" w:rsidDel="00000000" w:rsidP="00000000" w:rsidRDefault="00000000" w:rsidRPr="00000000" w14:paraId="0000005E">
                <w:pPr>
                  <w:widowControl w:val="0"/>
                  <w:spacing w:after="240" w:before="240" w:line="276"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Anunțați dilemele una câte una, lăsați tinerii să se deplaseze către da/nu știu/nu.</w:t>
                </w:r>
              </w:p>
              <w:p w:rsidR="00000000" w:rsidDel="00000000" w:rsidP="00000000" w:rsidRDefault="00000000" w:rsidRPr="00000000" w14:paraId="0000005F">
                <w:pPr>
                  <w:widowControl w:val="0"/>
                  <w:spacing w:after="240" w:before="240" w:line="276" w:lineRule="auto"/>
                  <w:rPr>
                    <w:rFonts w:ascii="IBM Plex Sans" w:cs="IBM Plex Sans" w:eastAsia="IBM Plex Sans" w:hAnsi="IBM Plex Sans"/>
                  </w:rPr>
                </w:pPr>
                <w:r w:rsidDel="00000000" w:rsidR="00000000" w:rsidRPr="00000000">
                  <w:rPr>
                    <w:rFonts w:ascii="IBM Plex Sans" w:cs="IBM Plex Sans" w:eastAsia="IBM Plex Sans" w:hAnsi="IBM Plex Sans"/>
                    <w:b w:val="1"/>
                    <w:bCs w:val="1"/>
                    <w:rtl w:val="0"/>
                  </w:rPr>
                  <w:t xml:space="preserve">Dileme</w:t>
                </w:r>
                <w:r w:rsidDel="00000000" w:rsidR="00000000" w:rsidRPr="00000000">
                  <w:rPr>
                    <w:rFonts w:ascii="IBM Plex Sans" w:cs="IBM Plex Sans" w:eastAsia="IBM Plex Sans" w:hAnsi="IBM Plex Sans"/>
                    <w:rtl w:val="0"/>
                  </w:rPr>
                  <w:t xml:space="preserve">:</w:t>
                </w:r>
              </w:p>
              <w:p w:rsidR="00000000" w:rsidDel="00000000" w:rsidP="00000000" w:rsidRDefault="00000000" w:rsidRPr="00000000" w14:paraId="00000060">
                <w:pPr>
                  <w:widowControl w:val="0"/>
                  <w:numPr>
                    <w:ilvl w:val="0"/>
                    <w:numId w:val="7"/>
                  </w:numPr>
                  <w:spacing w:after="0" w:before="240" w:line="276"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„Am ținut cont de strategiile fanilor noștri, dar nu a fost obiectivul nostru principal”.</w:t>
                </w:r>
              </w:p>
              <w:p w:rsidR="00000000" w:rsidDel="00000000" w:rsidP="00000000" w:rsidRDefault="00000000" w:rsidRPr="00000000" w14:paraId="00000061">
                <w:pPr>
                  <w:widowControl w:val="0"/>
                  <w:numPr>
                    <w:ilvl w:val="0"/>
                    <w:numId w:val="7"/>
                  </w:numPr>
                  <w:spacing w:after="0" w:before="0" w:line="276"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„Am ales în principal ceea ce ne-a plăcut cel mai mult, nu ceea ce era important pentru fanii noștri”.</w:t>
                </w:r>
              </w:p>
              <w:p w:rsidR="00000000" w:rsidDel="00000000" w:rsidP="00000000" w:rsidRDefault="00000000" w:rsidRPr="00000000" w14:paraId="00000062">
                <w:pPr>
                  <w:widowControl w:val="0"/>
                  <w:numPr>
                    <w:ilvl w:val="0"/>
                    <w:numId w:val="7"/>
                  </w:numPr>
                  <w:spacing w:after="0" w:before="0" w:line="276"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„Colaborarea a decurs bine.”</w:t>
                </w:r>
              </w:p>
              <w:p w:rsidR="00000000" w:rsidDel="00000000" w:rsidP="00000000" w:rsidRDefault="00000000" w:rsidRPr="00000000" w14:paraId="00000063">
                <w:pPr>
                  <w:widowControl w:val="0"/>
                  <w:numPr>
                    <w:ilvl w:val="0"/>
                    <w:numId w:val="7"/>
                  </w:numPr>
                  <w:spacing w:after="0" w:before="0" w:line="276" w:lineRule="auto"/>
                  <w:ind w:left="720" w:hanging="360"/>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„Acum văd mai clar ce pot face eu însumi pentru a trăi într-un mod ecologic.”</w:t>
                </w:r>
                <w:r w:rsidDel="00000000" w:rsidR="00000000" w:rsidRPr="00000000">
                  <w:rPr>
                    <w:rtl w:val="0"/>
                  </w:rPr>
                </w:r>
              </w:p>
              <w:p w:rsidR="00000000" w:rsidDel="00000000" w:rsidP="00000000" w:rsidRDefault="00000000" w:rsidRPr="00000000" w14:paraId="00000064">
                <w:pPr>
                  <w:widowControl w:val="0"/>
                  <w:spacing w:after="240" w:before="240" w:line="276"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Puteți adăuga dileme la alegere. Pentru fiecare dilemă, rugați câțiva tineri să-și împărtășească punctul de vedere.</w:t>
                </w:r>
              </w:p>
            </w:tc>
          </w:tr>
        </w:tbl>
      </w:sdtContent>
    </w:sdt>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ffffff" w:val="clear"/>
        <w:spacing w:after="225" w:before="0" w:line="240" w:lineRule="auto"/>
        <w:ind w:left="0" w:right="0" w:firstLine="0"/>
        <w:jc w:val="left"/>
        <w:rPr>
          <w:rFonts w:ascii="IBM Plex Sans" w:cs="IBM Plex Sans" w:eastAsia="IBM Plex Sans" w:hAnsi="IBM Plex Sans"/>
          <w:b w:val="0"/>
          <w:bCs w:val="0"/>
          <w:i w:val="0"/>
          <w:iCs w:val="0"/>
          <w:smallCaps w:val="0"/>
          <w:strike w:val="0"/>
          <w:color w:val="000000"/>
          <w:sz w:val="22"/>
          <w:szCs w:val="22"/>
          <w:highlight w:val="white"/>
          <w:u w:val="none"/>
          <w:vertAlign w:val="baseline"/>
        </w:rPr>
      </w:pPr>
      <w:r w:rsidDel="00000000" w:rsidR="00000000" w:rsidRPr="00000000">
        <w:rPr>
          <w:rtl w:val="0"/>
        </w:rPr>
      </w:r>
    </w:p>
    <w:sectPr>
      <w:headerReference r:id="rId14" w:type="default"/>
      <w:headerReference r:id="rId15" w:type="first"/>
      <w:headerReference r:id="rId16" w:type="even"/>
      <w:footerReference r:id="rId17" w:type="default"/>
      <w:footerReference r:id="rId18" w:type="first"/>
      <w:footerReference r:id="rId19" w:type="even"/>
      <w:pgSz w:h="16838" w:w="11906" w:orient="portrait"/>
      <w:pgMar w:bottom="1134" w:top="1417" w:left="1134" w:right="1134" w:header="68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3258820</wp:posOffset>
          </wp:positionH>
          <wp:positionV relativeFrom="paragraph">
            <wp:posOffset>101161</wp:posOffset>
          </wp:positionV>
          <wp:extent cx="673100" cy="461645"/>
          <wp:effectExtent b="0" l="0" r="0" t="0"/>
          <wp:wrapNone/>
          <wp:docPr id="1692533094" name="image6.png"/>
          <a:graphic>
            <a:graphicData uri="http://schemas.openxmlformats.org/drawingml/2006/picture">
              <pic:pic>
                <pic:nvPicPr>
                  <pic:cNvPr id="0" name="image6.png"/>
                  <pic:cNvPicPr preferRelativeResize="0"/>
                </pic:nvPicPr>
                <pic:blipFill>
                  <a:blip r:embed="rId1"/>
                  <a:srcRect b="0" l="0" r="0" t="0"/>
                  <a:stretch>
                    <a:fillRect/>
                  </a:stretch>
                </pic:blipFill>
                <pic:spPr>
                  <a:xfrm>
                    <a:off x="0" y="0"/>
                    <a:ext cx="673100" cy="46164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5261610</wp:posOffset>
          </wp:positionH>
          <wp:positionV relativeFrom="paragraph">
            <wp:posOffset>276225</wp:posOffset>
          </wp:positionV>
          <wp:extent cx="853440" cy="177165"/>
          <wp:effectExtent b="0" l="0" r="0" t="0"/>
          <wp:wrapNone/>
          <wp:docPr id="1692533098" name="image4.png"/>
          <a:graphic>
            <a:graphicData uri="http://schemas.openxmlformats.org/drawingml/2006/picture">
              <pic:pic>
                <pic:nvPicPr>
                  <pic:cNvPr id="0" name="image4.png"/>
                  <pic:cNvPicPr preferRelativeResize="0"/>
                </pic:nvPicPr>
                <pic:blipFill>
                  <a:blip r:embed="rId2"/>
                  <a:srcRect b="0" l="0" r="0" t="0"/>
                  <a:stretch>
                    <a:fillRect/>
                  </a:stretch>
                </pic:blipFill>
                <pic:spPr>
                  <a:xfrm>
                    <a:off x="0" y="0"/>
                    <a:ext cx="853440" cy="17716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1954530</wp:posOffset>
          </wp:positionH>
          <wp:positionV relativeFrom="paragraph">
            <wp:posOffset>10795</wp:posOffset>
          </wp:positionV>
          <wp:extent cx="1002030" cy="708025"/>
          <wp:effectExtent b="0" l="0" r="0" t="0"/>
          <wp:wrapNone/>
          <wp:docPr id="1692533097" name="image5.png"/>
          <a:graphic>
            <a:graphicData uri="http://schemas.openxmlformats.org/drawingml/2006/picture">
              <pic:pic>
                <pic:nvPicPr>
                  <pic:cNvPr id="0" name="image5.png"/>
                  <pic:cNvPicPr preferRelativeResize="0"/>
                </pic:nvPicPr>
                <pic:blipFill>
                  <a:blip r:embed="rId3"/>
                  <a:srcRect b="0" l="0" r="0" t="0"/>
                  <a:stretch>
                    <a:fillRect/>
                  </a:stretch>
                </pic:blipFill>
                <pic:spPr>
                  <a:xfrm>
                    <a:off x="0" y="0"/>
                    <a:ext cx="1002030" cy="70802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4319270</wp:posOffset>
          </wp:positionH>
          <wp:positionV relativeFrom="paragraph">
            <wp:posOffset>43815</wp:posOffset>
          </wp:positionV>
          <wp:extent cx="632460" cy="530860"/>
          <wp:effectExtent b="0" l="0" r="0" t="0"/>
          <wp:wrapNone/>
          <wp:docPr id="1692533100" name="image1.png"/>
          <a:graphic>
            <a:graphicData uri="http://schemas.openxmlformats.org/drawingml/2006/picture">
              <pic:pic>
                <pic:nvPicPr>
                  <pic:cNvPr id="0" name="image1.png"/>
                  <pic:cNvPicPr preferRelativeResize="0"/>
                </pic:nvPicPr>
                <pic:blipFill>
                  <a:blip r:embed="rId4"/>
                  <a:srcRect b="0" l="0" r="0" t="0"/>
                  <a:stretch>
                    <a:fillRect/>
                  </a:stretch>
                </pic:blipFill>
                <pic:spPr>
                  <a:xfrm>
                    <a:off x="0" y="0"/>
                    <a:ext cx="632460" cy="530860"/>
                  </a:xfrm>
                  <a:prstGeom prst="rect"/>
                  <a:ln/>
                </pic:spPr>
              </pic:pic>
            </a:graphicData>
          </a:graphic>
        </wp:anchor>
      </w:drawing>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30284</wp:posOffset>
          </wp:positionV>
          <wp:extent cx="1467762" cy="327509"/>
          <wp:effectExtent b="0" l="0" r="0" t="0"/>
          <wp:wrapNone/>
          <wp:docPr id="1692533099" name="image3.png"/>
          <a:graphic>
            <a:graphicData uri="http://schemas.openxmlformats.org/drawingml/2006/picture">
              <pic:pic>
                <pic:nvPicPr>
                  <pic:cNvPr id="0" name="image3.png"/>
                  <pic:cNvPicPr preferRelativeResize="0"/>
                </pic:nvPicPr>
                <pic:blipFill>
                  <a:blip r:embed="rId5"/>
                  <a:srcRect b="0" l="0" r="0" t="0"/>
                  <a:stretch>
                    <a:fillRect/>
                  </a:stretch>
                </pic:blipFill>
                <pic:spPr>
                  <a:xfrm>
                    <a:off x="0" y="0"/>
                    <a:ext cx="1467762" cy="327509"/>
                  </a:xfrm>
                  <a:prstGeom prst="rect"/>
                  <a:ln/>
                </pic:spPr>
              </pic:pic>
            </a:graphicData>
          </a:graphic>
        </wp:anchor>
      </w:drawing>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0"/>
        <w:iCs w:val="0"/>
        <w:smallCaps w:val="0"/>
        <w:strike w:val="0"/>
        <w:color w:val="000000"/>
        <w:sz w:val="20"/>
        <w:szCs w:val="20"/>
        <w:u w:val="none"/>
        <w:shd w:fill="auto" w:val="clear"/>
        <w:vertAlign w:val="baseline"/>
      </w:rPr>
    </w:pPr>
    <w:r w:rsidDel="00000000" w:rsidR="00000000" w:rsidRPr="00000000">
      <w:rPr>
        <w:rFonts w:ascii="IBM Plex Sans" w:cs="IBM Plex Sans" w:eastAsia="IBM Plex Sans" w:hAnsi="IBM Plex Sans"/>
        <w:b w:val="0"/>
        <w:bCs w:val="0"/>
        <w:i w:val="0"/>
        <w:iCs w:val="0"/>
        <w:smallCaps w:val="0"/>
        <w:strike w:val="0"/>
        <w:color w:val="000000"/>
        <w:sz w:val="20"/>
        <w:szCs w:val="20"/>
        <w:u w:val="none"/>
        <w:shd w:fill="auto" w:val="clear"/>
        <w:vertAlign w:val="baseline"/>
        <w:rtl w:val="0"/>
      </w:rPr>
      <w:t xml:space="preserve">hello@alphafutureskills.eu</w:t>
    </w:r>
    <w:r w:rsidDel="00000000" w:rsidR="00000000" w:rsidRPr="00000000">
      <w:drawing>
        <wp:anchor allowOverlap="1" behindDoc="0" distB="0" distT="0" distL="114300" distR="114300" hidden="0" layoutInCell="1" locked="0" relativeHeight="0" simplePos="0">
          <wp:simplePos x="0" y="0"/>
          <wp:positionH relativeFrom="column">
            <wp:posOffset>-13285</wp:posOffset>
          </wp:positionH>
          <wp:positionV relativeFrom="paragraph">
            <wp:posOffset>22860</wp:posOffset>
          </wp:positionV>
          <wp:extent cx="955860" cy="462280"/>
          <wp:effectExtent b="0" l="0" r="0" t="0"/>
          <wp:wrapNone/>
          <wp:docPr id="169253309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955860" cy="462280"/>
                  </a:xfrm>
                  <a:prstGeom prst="rect"/>
                  <a:ln/>
                </pic:spPr>
              </pic:pic>
            </a:graphicData>
          </a:graphic>
        </wp:anchor>
      </w:drawing>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0"/>
        <w:iCs w:val="0"/>
        <w:smallCaps w:val="0"/>
        <w:strike w:val="0"/>
        <w:color w:val="000000"/>
        <w:sz w:val="20"/>
        <w:szCs w:val="20"/>
        <w:u w:val="none"/>
        <w:shd w:fill="auto" w:val="clear"/>
        <w:vertAlign w:val="baseline"/>
      </w:rPr>
    </w:pPr>
    <w:r w:rsidDel="00000000" w:rsidR="00000000" w:rsidRPr="00000000">
      <w:rPr>
        <w:rFonts w:ascii="IBM Plex Sans" w:cs="IBM Plex Sans" w:eastAsia="IBM Plex Sans" w:hAnsi="IBM Plex Sans"/>
        <w:b w:val="0"/>
        <w:bCs w:val="0"/>
        <w:i w:val="0"/>
        <w:iCs w:val="0"/>
        <w:smallCaps w:val="0"/>
        <w:strike w:val="0"/>
        <w:color w:val="000000"/>
        <w:sz w:val="20"/>
        <w:szCs w:val="20"/>
        <w:u w:val="none"/>
        <w:shd w:fill="auto" w:val="clear"/>
        <w:vertAlign w:val="baseline"/>
        <w:rtl w:val="0"/>
      </w:rPr>
      <w:t xml:space="preserve">www.alphafutureskills.eu</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bCs w:val="0"/>
        <w:i w:val="1"/>
        <w:iCs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#alphafutureskills </w:t>
    </w:r>
  </w:p>
  <w:p w:rsidR="00000000" w:rsidDel="00000000" w:rsidP="00000000" w:rsidRDefault="00000000" w:rsidRPr="00000000" w14:paraId="0000006A">
    <w:pPr>
      <w:tabs>
        <w:tab w:val="center" w:leader="none" w:pos="4819"/>
        <w:tab w:val="right" w:leader="none" w:pos="9638"/>
      </w:tabs>
      <w:spacing w:after="0" w:line="240" w:lineRule="auto"/>
      <w:jc w:val="right"/>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Fonts w:ascii="IBM Plex Sans" w:cs="IBM Plex Sans" w:eastAsia="IBM Plex Sans" w:hAnsi="IBM Plex Sans"/>
        <w:rtl w:val="0"/>
      </w:rPr>
      <w:t xml:space="preserve">CC BY-NC-ND 4.0</w:t>
    </w:r>
    <w:r w:rsidDel="00000000" w:rsidR="00000000" w:rsidRPr="00000000">
      <w:rPr>
        <w:rtl w:val="0"/>
      </w:rPr>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1"/>
        <w:iCs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1"/>
        <w:iCs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0"/>
        <w:iCs w:val="0"/>
        <w:smallCaps w:val="0"/>
        <w:strike w:val="0"/>
        <w:color w:val="000000"/>
        <w:sz w:val="20"/>
        <w:szCs w:val="20"/>
        <w:u w:val="none"/>
        <w:shd w:fill="auto" w:val="clear"/>
        <w:vertAlign w:val="baseline"/>
      </w:rPr>
    </w:pPr>
    <w:r w:rsidDel="00000000" w:rsidR="00000000" w:rsidRPr="00000000">
      <w:rPr>
        <w:rFonts w:ascii="IBM Plex Sans" w:cs="IBM Plex Sans" w:eastAsia="IBM Plex Sans" w:hAnsi="IBM Plex Sans"/>
        <w:b w:val="0"/>
        <w:bCs w:val="0"/>
        <w:i w:val="0"/>
        <w:iCs w:val="0"/>
        <w:smallCaps w:val="0"/>
        <w:strike w:val="0"/>
        <w:color w:val="000000"/>
        <w:sz w:val="20"/>
        <w:szCs w:val="20"/>
        <w:u w:val="none"/>
        <w:shd w:fill="auto" w:val="clear"/>
        <w:vertAlign w:val="baseline"/>
        <w:rtl w:val="0"/>
      </w:rPr>
      <w:t xml:space="preserve">hello@alphaskills.com</w:t>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-632</wp:posOffset>
          </wp:positionV>
          <wp:extent cx="955860" cy="462280"/>
          <wp:effectExtent b="0" l="0" r="0" t="0"/>
          <wp:wrapNone/>
          <wp:docPr id="169253309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955860" cy="462280"/>
                  </a:xfrm>
                  <a:prstGeom prst="rect"/>
                  <a:ln/>
                </pic:spPr>
              </pic:pic>
            </a:graphicData>
          </a:graphic>
        </wp:anchor>
      </w:drawing>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0"/>
        <w:iCs w:val="0"/>
        <w:smallCaps w:val="0"/>
        <w:strike w:val="0"/>
        <w:color w:val="000000"/>
        <w:sz w:val="20"/>
        <w:szCs w:val="20"/>
        <w:u w:val="none"/>
        <w:shd w:fill="auto" w:val="clear"/>
        <w:vertAlign w:val="baseline"/>
      </w:rPr>
    </w:pPr>
    <w:r w:rsidDel="00000000" w:rsidR="00000000" w:rsidRPr="00000000">
      <w:rPr>
        <w:rFonts w:ascii="IBM Plex Sans" w:cs="IBM Plex Sans" w:eastAsia="IBM Plex Sans" w:hAnsi="IBM Plex Sans"/>
        <w:b w:val="0"/>
        <w:bCs w:val="0"/>
        <w:i w:val="0"/>
        <w:iCs w:val="0"/>
        <w:smallCaps w:val="0"/>
        <w:strike w:val="0"/>
        <w:color w:val="000000"/>
        <w:sz w:val="20"/>
        <w:szCs w:val="20"/>
        <w:u w:val="none"/>
        <w:shd w:fill="auto" w:val="clear"/>
        <w:vertAlign w:val="baseline"/>
        <w:rtl w:val="0"/>
      </w:rPr>
      <w:t xml:space="preserve">www.alphafutureskills.eu</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bCs w:val="0"/>
        <w:i w:val="1"/>
        <w:iCs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#alphafutureskills </w:t>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bCs w:val="0"/>
        <w:i w:val="1"/>
        <w:iCs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bullet"/>
      <w:lvlText w:val="-"/>
      <w:lvlJc w:val="right"/>
      <w:pPr>
        <w:ind w:left="2160" w:hanging="360"/>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240" w:lineRule="auto"/>
    </w:pPr>
    <w:rPr>
      <w:b w:val="1"/>
      <w:bCs w:val="1"/>
      <w:sz w:val="36"/>
      <w:szCs w:val="36"/>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A259EC"/>
    <w:pPr>
      <w:tabs>
        <w:tab w:val="center" w:pos="4819"/>
        <w:tab w:val="right" w:pos="9638"/>
      </w:tabs>
      <w:spacing w:after="0" w:line="240" w:lineRule="auto"/>
    </w:pPr>
  </w:style>
  <w:style w:type="character" w:styleId="HeaderChar" w:customStyle="1">
    <w:name w:val="Header Char"/>
    <w:basedOn w:val="DefaultParagraphFont"/>
    <w:link w:val="Header"/>
    <w:uiPriority w:val="99"/>
    <w:rsid w:val="00A259EC"/>
  </w:style>
  <w:style w:type="paragraph" w:styleId="Footer">
    <w:name w:val="footer"/>
    <w:basedOn w:val="Normal"/>
    <w:link w:val="FooterChar"/>
    <w:uiPriority w:val="99"/>
    <w:unhideWhenUsed w:val="1"/>
    <w:rsid w:val="00A259EC"/>
    <w:pPr>
      <w:tabs>
        <w:tab w:val="center" w:pos="4819"/>
        <w:tab w:val="right" w:pos="9638"/>
      </w:tabs>
      <w:spacing w:after="0" w:line="240" w:lineRule="auto"/>
    </w:pPr>
  </w:style>
  <w:style w:type="character" w:styleId="FooterChar" w:customStyle="1">
    <w:name w:val="Footer Char"/>
    <w:basedOn w:val="DefaultParagraphFont"/>
    <w:link w:val="Footer"/>
    <w:uiPriority w:val="99"/>
    <w:rsid w:val="00A259EC"/>
  </w:style>
  <w:style w:type="character" w:styleId="Strong">
    <w:name w:val="Strong"/>
    <w:basedOn w:val="DefaultParagraphFont"/>
    <w:uiPriority w:val="22"/>
    <w:qFormat w:val="1"/>
    <w:rsid w:val="00FB7881"/>
    <w:rPr>
      <w:b w:val="1"/>
      <w:bCs w:val="1"/>
    </w:rPr>
  </w:style>
  <w:style w:type="paragraph" w:styleId="NormalWeb">
    <w:name w:val="Normal (Web)"/>
    <w:basedOn w:val="Normal"/>
    <w:uiPriority w:val="99"/>
    <w:unhideWhenUsed w:val="1"/>
    <w:rsid w:val="00515823"/>
    <w:pPr>
      <w:spacing w:after="100" w:afterAutospacing="1" w:before="100" w:beforeAutospacing="1" w:line="240" w:lineRule="auto"/>
    </w:pPr>
    <w:rPr>
      <w:rFonts w:ascii="Times New Roman" w:cs="Times New Roman" w:eastAsia="Times New Roman" w:hAnsi="Times New Roman"/>
      <w:kern w:val="0"/>
      <w:sz w:val="24"/>
      <w:szCs w:val="24"/>
      <w:lang w:eastAsia="it-IT"/>
    </w:rPr>
  </w:style>
  <w:style w:type="table" w:styleId="Table1">
    <w:basedOn w:val="TableNormal"/>
    <w:tblPr>
      <w:tblStyleRowBandSize w:val="1"/>
      <w:tblStyleColBandSize w:val="1"/>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0.png"/><Relationship Id="rId10"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9.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2.png"/><Relationship Id="rId15" Type="http://schemas.openxmlformats.org/officeDocument/2006/relationships/header" Target="header2.xml"/><Relationship Id="rId14" Type="http://schemas.openxmlformats.org/officeDocument/2006/relationships/header" Target="header1.xml"/><Relationship Id="rId17" Type="http://schemas.openxmlformats.org/officeDocument/2006/relationships/footer" Target="footer1.xml"/><Relationship Id="rId16" Type="http://schemas.openxmlformats.org/officeDocument/2006/relationships/header" Target="header3.xml"/><Relationship Id="rId5" Type="http://schemas.openxmlformats.org/officeDocument/2006/relationships/styles" Target="styles.xml"/><Relationship Id="rId19" Type="http://schemas.openxmlformats.org/officeDocument/2006/relationships/footer" Target="footer3.xml"/><Relationship Id="rId6" Type="http://schemas.openxmlformats.org/officeDocument/2006/relationships/customXml" Target="../customXML/item1.xml"/><Relationship Id="rId18" Type="http://schemas.openxmlformats.org/officeDocument/2006/relationships/footer" Target="footer2.xml"/><Relationship Id="rId7" Type="http://schemas.openxmlformats.org/officeDocument/2006/relationships/image" Target="media/image11.png"/><Relationship Id="rId8" Type="http://schemas.openxmlformats.org/officeDocument/2006/relationships/image" Target="media/image13.png"/></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4.png"/><Relationship Id="rId3" Type="http://schemas.openxmlformats.org/officeDocument/2006/relationships/image" Target="media/image5.png"/><Relationship Id="rId4" Type="http://schemas.openxmlformats.org/officeDocument/2006/relationships/image" Target="media/image1.png"/><Relationship Id="rId5"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h2+uYRuZBXmRn86lbPCqQhJgaw==">CgMxLjAaHwoBMBIaChgICVIUChJ0YWJsZS5qeHUzOGIxb21sZGkyDmgucHNqcWM1OWQ4cDdkMg5oLnAzcmk3OGl0YzJsajIOaC5zZ2x1MG5hNHEyeW4yDmguaXV3Z3plODB4dnp0Mg5oLm04cmcyOTM0N3h4bjgAciExTXI5dG5WNlV5OERNelNkOUJYZkRkbzgyTnNfekNOSjU=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2023-06-16T14:17:00.0000000Z</dcterms:created>
  <dc:creator>Matteo Bracelli</dc:creator>
</cp:coreProperties>
</file>